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A7076" w14:textId="77777777" w:rsidR="006C6634" w:rsidRPr="00884B06" w:rsidRDefault="006C6634" w:rsidP="00B810F5">
      <w:pPr>
        <w:pStyle w:val="KeinLeerraum"/>
        <w:rPr>
          <w:rStyle w:val="SchwacherVerweis"/>
        </w:rPr>
      </w:pPr>
    </w:p>
    <w:p w14:paraId="1F092334" w14:textId="77777777" w:rsidR="00B810F5" w:rsidRPr="004A451B" w:rsidRDefault="00B810F5" w:rsidP="00B810F5">
      <w:pPr>
        <w:pStyle w:val="KeinLeerraum"/>
        <w:rPr>
          <w:b/>
          <w:sz w:val="50"/>
          <w:szCs w:val="50"/>
        </w:rPr>
      </w:pPr>
      <w:bookmarkStart w:id="0" w:name="Brief"/>
      <w:bookmarkEnd w:id="0"/>
      <w:r w:rsidRPr="004A451B">
        <w:rPr>
          <w:b/>
          <w:sz w:val="50"/>
          <w:szCs w:val="50"/>
        </w:rPr>
        <w:t xml:space="preserve">Strafprozessvollmacht </w:t>
      </w:r>
    </w:p>
    <w:p w14:paraId="3C984E8B" w14:textId="77777777" w:rsidR="00B810F5" w:rsidRDefault="00B810F5" w:rsidP="00B810F5">
      <w:pPr>
        <w:pStyle w:val="KeinLeerraum"/>
        <w:rPr>
          <w:b/>
          <w:sz w:val="50"/>
        </w:rPr>
      </w:pPr>
    </w:p>
    <w:p w14:paraId="3A09FD5E" w14:textId="051DDB2C" w:rsidR="00B810F5" w:rsidRDefault="00B810F5" w:rsidP="00B810F5">
      <w:pPr>
        <w:pStyle w:val="KeinLeerraum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 Rechtsanwälten </w:t>
      </w:r>
      <w:r w:rsidR="00551A72">
        <w:rPr>
          <w:b/>
          <w:sz w:val="22"/>
          <w:szCs w:val="22"/>
        </w:rPr>
        <w:t>Frank Witte</w:t>
      </w:r>
      <w:r w:rsidR="003D5CE3">
        <w:rPr>
          <w:b/>
          <w:sz w:val="22"/>
          <w:szCs w:val="22"/>
        </w:rPr>
        <w:t xml:space="preserve"> und Ivonne Burmester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441"/>
      </w:tblGrid>
      <w:tr w:rsidR="001A288B" w:rsidRPr="001A288B" w14:paraId="277AFA91" w14:textId="77777777" w:rsidTr="00AA50D4">
        <w:tc>
          <w:tcPr>
            <w:tcW w:w="9779" w:type="dxa"/>
            <w:gridSpan w:val="2"/>
          </w:tcPr>
          <w:p w14:paraId="2C49D4F1" w14:textId="77777777" w:rsidR="001A288B" w:rsidRPr="001A288B" w:rsidRDefault="001A288B" w:rsidP="001A288B">
            <w:pPr>
              <w:rPr>
                <w:sz w:val="22"/>
              </w:rPr>
            </w:pPr>
          </w:p>
        </w:tc>
      </w:tr>
      <w:tr w:rsidR="00AA50D4" w14:paraId="6F1ED252" w14:textId="77777777" w:rsidTr="00AA50D4">
        <w:tc>
          <w:tcPr>
            <w:tcW w:w="2338" w:type="dxa"/>
          </w:tcPr>
          <w:p w14:paraId="33EB5E6C" w14:textId="77777777" w:rsidR="00AA50D4" w:rsidRDefault="00AA50D4" w:rsidP="00051B86">
            <w:pPr>
              <w:rPr>
                <w:sz w:val="22"/>
              </w:rPr>
            </w:pPr>
            <w:r>
              <w:rPr>
                <w:sz w:val="22"/>
              </w:rPr>
              <w:t xml:space="preserve">wird hiermit in Sachen </w:t>
            </w:r>
          </w:p>
        </w:tc>
        <w:tc>
          <w:tcPr>
            <w:tcW w:w="7441" w:type="dxa"/>
            <w:tcBorders>
              <w:bottom w:val="dotted" w:sz="4" w:space="0" w:color="auto"/>
            </w:tcBorders>
          </w:tcPr>
          <w:p w14:paraId="67923597" w14:textId="4485BAA9" w:rsidR="005D594F" w:rsidRDefault="005D594F" w:rsidP="00352241">
            <w:pPr>
              <w:rPr>
                <w:sz w:val="22"/>
              </w:rPr>
            </w:pPr>
          </w:p>
        </w:tc>
      </w:tr>
      <w:tr w:rsidR="006622C7" w14:paraId="48CF0BB9" w14:textId="77777777" w:rsidTr="00677442">
        <w:tc>
          <w:tcPr>
            <w:tcW w:w="9779" w:type="dxa"/>
            <w:gridSpan w:val="2"/>
          </w:tcPr>
          <w:p w14:paraId="010D395E" w14:textId="77777777" w:rsidR="006622C7" w:rsidRDefault="006622C7" w:rsidP="00677442"/>
          <w:tbl>
            <w:tblPr>
              <w:tblW w:w="977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79"/>
              <w:gridCol w:w="9000"/>
            </w:tblGrid>
            <w:tr w:rsidR="006622C7" w:rsidRPr="00894040" w14:paraId="57B4D628" w14:textId="77777777" w:rsidTr="00677442">
              <w:tc>
                <w:tcPr>
                  <w:tcW w:w="779" w:type="dxa"/>
                </w:tcPr>
                <w:p w14:paraId="735E7BD9" w14:textId="6C173A32" w:rsidR="006622C7" w:rsidRPr="00894040" w:rsidRDefault="00083926" w:rsidP="00677442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wegen</w:t>
                  </w:r>
                </w:p>
              </w:tc>
              <w:tc>
                <w:tcPr>
                  <w:tcW w:w="9000" w:type="dxa"/>
                  <w:tcBorders>
                    <w:bottom w:val="dotted" w:sz="4" w:space="0" w:color="auto"/>
                  </w:tcBorders>
                </w:tcPr>
                <w:p w14:paraId="0AC23696" w14:textId="370182DE" w:rsidR="006622C7" w:rsidRPr="00894040" w:rsidRDefault="006622C7" w:rsidP="00677442">
                  <w:pPr>
                    <w:pStyle w:val="Kopfzeile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F88A92D" w14:textId="77777777" w:rsidR="006622C7" w:rsidRDefault="006622C7" w:rsidP="00677442">
            <w:pPr>
              <w:rPr>
                <w:sz w:val="22"/>
              </w:rPr>
            </w:pPr>
          </w:p>
        </w:tc>
      </w:tr>
      <w:tr w:rsidR="00083F64" w14:paraId="36C7FCED" w14:textId="77777777" w:rsidTr="00CF1F0F">
        <w:tc>
          <w:tcPr>
            <w:tcW w:w="9779" w:type="dxa"/>
            <w:gridSpan w:val="2"/>
          </w:tcPr>
          <w:p w14:paraId="4925E9AD" w14:textId="77777777" w:rsidR="00083F64" w:rsidRDefault="00083F64" w:rsidP="00CF1F0F"/>
          <w:tbl>
            <w:tblPr>
              <w:tblW w:w="977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79"/>
              <w:gridCol w:w="9000"/>
            </w:tblGrid>
            <w:tr w:rsidR="00083F64" w:rsidRPr="00894040" w14:paraId="53117F9B" w14:textId="77777777" w:rsidTr="00CF1F0F">
              <w:tc>
                <w:tcPr>
                  <w:tcW w:w="779" w:type="dxa"/>
                </w:tcPr>
                <w:p w14:paraId="4E826684" w14:textId="77777777" w:rsidR="00083F64" w:rsidRPr="00894040" w:rsidRDefault="00083F64" w:rsidP="00CF1F0F">
                  <w:pPr>
                    <w:rPr>
                      <w:sz w:val="22"/>
                    </w:rPr>
                  </w:pPr>
                  <w:r w:rsidRPr="00894040">
                    <w:rPr>
                      <w:sz w:val="22"/>
                    </w:rPr>
                    <w:t xml:space="preserve">wegen </w:t>
                  </w:r>
                </w:p>
              </w:tc>
              <w:tc>
                <w:tcPr>
                  <w:tcW w:w="9000" w:type="dxa"/>
                  <w:tcBorders>
                    <w:bottom w:val="dotted" w:sz="4" w:space="0" w:color="auto"/>
                  </w:tcBorders>
                </w:tcPr>
                <w:p w14:paraId="7BA3B988" w14:textId="728DADAE" w:rsidR="00083F64" w:rsidRPr="00894040" w:rsidRDefault="00083F64" w:rsidP="00445A16">
                  <w:pPr>
                    <w:pStyle w:val="Kopfzeile"/>
                    <w:rPr>
                      <w:rFonts w:ascii="Times New Roman" w:hAnsi="Times New Roman"/>
                    </w:rPr>
                  </w:pPr>
                  <w:bookmarkStart w:id="1" w:name="_GoBack"/>
                  <w:bookmarkEnd w:id="1"/>
                </w:p>
              </w:tc>
            </w:tr>
          </w:tbl>
          <w:p w14:paraId="6159380C" w14:textId="77777777" w:rsidR="00083F64" w:rsidRDefault="00083F64" w:rsidP="00CF1F0F">
            <w:pPr>
              <w:rPr>
                <w:sz w:val="22"/>
              </w:rPr>
            </w:pPr>
          </w:p>
        </w:tc>
      </w:tr>
    </w:tbl>
    <w:p w14:paraId="313EDE66" w14:textId="77777777" w:rsidR="00AA50D4" w:rsidRDefault="00AA50D4" w:rsidP="00B810F5">
      <w:pPr>
        <w:pStyle w:val="KeinLeerraum"/>
        <w:spacing w:line="360" w:lineRule="auto"/>
        <w:jc w:val="both"/>
        <w:rPr>
          <w:sz w:val="22"/>
          <w:szCs w:val="22"/>
        </w:rPr>
      </w:pPr>
    </w:p>
    <w:p w14:paraId="53E6C1C6" w14:textId="77777777" w:rsidR="009E7978" w:rsidRDefault="00B810F5" w:rsidP="003F0806">
      <w:pPr>
        <w:pStyle w:val="KeinLeerraum"/>
        <w:jc w:val="both"/>
        <w:rPr>
          <w:sz w:val="22"/>
          <w:szCs w:val="22"/>
        </w:rPr>
      </w:pPr>
      <w:r>
        <w:rPr>
          <w:sz w:val="22"/>
          <w:szCs w:val="22"/>
        </w:rPr>
        <w:t>Vollmacht zur Vertretung und Verteidigung in Strafsachen und Bußgeldsachen für alle Instanzen einschließlich der Vorverfahren sowie für den Fall der A</w:t>
      </w:r>
      <w:r w:rsidR="00807991">
        <w:rPr>
          <w:sz w:val="22"/>
          <w:szCs w:val="22"/>
        </w:rPr>
        <w:t xml:space="preserve">bwesenheit des Vollmachtgebers </w:t>
      </w:r>
      <w:r>
        <w:rPr>
          <w:sz w:val="22"/>
          <w:szCs w:val="22"/>
        </w:rPr>
        <w:t>auch gemäß den §§ 233, 234, 229 Abs. 1 und 2, 350 Abs. 2, 374 Abs. 2, 378, 387 Abs. 1, 411 Abs. 2, 434 Abs. 1 StPO und § 73 Abs. 2 und 3 OWiG</w:t>
      </w:r>
      <w:r w:rsidR="0068071C">
        <w:rPr>
          <w:sz w:val="22"/>
          <w:szCs w:val="22"/>
        </w:rPr>
        <w:t xml:space="preserve"> erteilt</w:t>
      </w:r>
      <w:r w:rsidR="009E7978">
        <w:rPr>
          <w:sz w:val="22"/>
          <w:szCs w:val="22"/>
        </w:rPr>
        <w:t>. Die Vollmacht umfasst ausdrücklich:</w:t>
      </w:r>
    </w:p>
    <w:p w14:paraId="56A4B726" w14:textId="77777777" w:rsidR="003F0806" w:rsidRDefault="003F0806" w:rsidP="003F0806">
      <w:pPr>
        <w:pStyle w:val="KeinLeerraum"/>
        <w:jc w:val="both"/>
        <w:rPr>
          <w:sz w:val="22"/>
          <w:szCs w:val="22"/>
        </w:rPr>
      </w:pPr>
    </w:p>
    <w:p w14:paraId="4F0A7082" w14:textId="4A5575A1" w:rsidR="00C9255E" w:rsidRDefault="00C9255E" w:rsidP="003F0806">
      <w:pPr>
        <w:pStyle w:val="KeinLeerraum"/>
        <w:numPr>
          <w:ilvl w:val="0"/>
          <w:numId w:val="2"/>
        </w:numPr>
        <w:jc w:val="both"/>
        <w:rPr>
          <w:sz w:val="22"/>
          <w:szCs w:val="22"/>
        </w:rPr>
      </w:pPr>
      <w:bookmarkStart w:id="2" w:name="_Hlk194659851"/>
      <w:r>
        <w:rPr>
          <w:sz w:val="22"/>
          <w:szCs w:val="22"/>
        </w:rPr>
        <w:t>die Erfolgsaussichten eines Rechtsmittels zu prüfen</w:t>
      </w:r>
      <w:bookmarkEnd w:id="2"/>
      <w:r>
        <w:rPr>
          <w:sz w:val="22"/>
          <w:szCs w:val="22"/>
        </w:rPr>
        <w:t>,</w:t>
      </w:r>
    </w:p>
    <w:p w14:paraId="08130E11" w14:textId="128D3A83" w:rsidR="00B810F5" w:rsidRDefault="009E7978" w:rsidP="003F0806">
      <w:pPr>
        <w:pStyle w:val="KeinLeerraum"/>
        <w:numPr>
          <w:ilvl w:val="0"/>
          <w:numId w:val="2"/>
        </w:numPr>
        <w:jc w:val="both"/>
        <w:rPr>
          <w:sz w:val="22"/>
          <w:szCs w:val="22"/>
        </w:rPr>
      </w:pPr>
      <w:r w:rsidRPr="009E7978">
        <w:rPr>
          <w:sz w:val="22"/>
          <w:szCs w:val="22"/>
        </w:rPr>
        <w:t xml:space="preserve">Rechtsmittel einzulegen und zurückzunehmen sowie den Verzicht auf </w:t>
      </w:r>
      <w:r>
        <w:rPr>
          <w:sz w:val="22"/>
          <w:szCs w:val="22"/>
        </w:rPr>
        <w:t>solche, Zustellungen (mit Ausnahme nach §145a StPO) und sonstige Mitteilungen aller Art (Urteile, Beschlüsse etc.) in Empfang zu nehmen,</w:t>
      </w:r>
    </w:p>
    <w:p w14:paraId="5E0F4CCF" w14:textId="77777777" w:rsidR="009E7978" w:rsidRDefault="009E7978" w:rsidP="003F0806">
      <w:pPr>
        <w:pStyle w:val="KeinLeerrau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Unterbevollmächtigte zu benennen oder Vertreter einzusetzen,</w:t>
      </w:r>
    </w:p>
    <w:p w14:paraId="0C02889B" w14:textId="77777777" w:rsidR="009E7978" w:rsidRDefault="002B022E" w:rsidP="003F0806">
      <w:pPr>
        <w:pStyle w:val="KeinLeerrau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E7978">
        <w:rPr>
          <w:sz w:val="22"/>
          <w:szCs w:val="22"/>
        </w:rPr>
        <w:t>ie Empfangnahme und Freigabe vo</w:t>
      </w:r>
      <w:r>
        <w:rPr>
          <w:sz w:val="22"/>
          <w:szCs w:val="22"/>
        </w:rPr>
        <w:t xml:space="preserve">n Geld, Wertsachen, Urkunden, </w:t>
      </w:r>
      <w:r w:rsidR="009E7978">
        <w:rPr>
          <w:sz w:val="22"/>
          <w:szCs w:val="22"/>
        </w:rPr>
        <w:t>Sicherheiten</w:t>
      </w:r>
      <w:r>
        <w:rPr>
          <w:sz w:val="22"/>
          <w:szCs w:val="22"/>
        </w:rPr>
        <w:t>, Kautionen, Entschädigungen und von der Justizkasse oder anderen Stellen zu erstattenden Kosten und notwendigen Auslagen,</w:t>
      </w:r>
    </w:p>
    <w:p w14:paraId="583F48E5" w14:textId="77777777" w:rsidR="002B022E" w:rsidRDefault="002B022E" w:rsidP="003F0806">
      <w:pPr>
        <w:pStyle w:val="KeinLeerrau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die Stellung von Strafanträgen und deren Rücknahme, die Erhebung von Nebenklagen sowie die Zustimmung zur Einstellung gemäß den §§ 153 und 153a StPO,</w:t>
      </w:r>
    </w:p>
    <w:p w14:paraId="0EDC67F0" w14:textId="77777777" w:rsidR="002B022E" w:rsidRDefault="002B022E" w:rsidP="003F0806">
      <w:pPr>
        <w:pStyle w:val="KeinLeerrau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die Stellung von Entschädigungsanträgen nach dem StrEG und die Vertretung und Antragstellung in Neben- und Folgesachen (insb. Kostenfestsetzungs- und Arrestverfahren</w:t>
      </w:r>
      <w:r w:rsidR="003F0806">
        <w:rPr>
          <w:sz w:val="22"/>
          <w:szCs w:val="22"/>
        </w:rPr>
        <w:t>, Verfall gemäß §29a OWiG</w:t>
      </w:r>
      <w:r>
        <w:rPr>
          <w:sz w:val="22"/>
          <w:szCs w:val="22"/>
        </w:rPr>
        <w:t>),</w:t>
      </w:r>
    </w:p>
    <w:p w14:paraId="388C277F" w14:textId="77777777" w:rsidR="002B022E" w:rsidRDefault="002B022E" w:rsidP="003F0806">
      <w:pPr>
        <w:pStyle w:val="KeinLeerrau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die Vertretung in Strafvollzugsangelegenheiten</w:t>
      </w:r>
      <w:r w:rsidR="003F0806">
        <w:rPr>
          <w:sz w:val="22"/>
          <w:szCs w:val="22"/>
        </w:rPr>
        <w:t>.</w:t>
      </w:r>
    </w:p>
    <w:p w14:paraId="73D40DA6" w14:textId="77777777" w:rsidR="003F0806" w:rsidRPr="009E7978" w:rsidRDefault="003F0806" w:rsidP="003F0806">
      <w:pPr>
        <w:pStyle w:val="KeinLeerraum"/>
        <w:ind w:left="780"/>
        <w:jc w:val="both"/>
        <w:rPr>
          <w:sz w:val="22"/>
          <w:szCs w:val="22"/>
        </w:rPr>
      </w:pPr>
    </w:p>
    <w:p w14:paraId="291C8354" w14:textId="77777777" w:rsidR="00B810F5" w:rsidRDefault="00B810F5" w:rsidP="003F0806">
      <w:pPr>
        <w:pStyle w:val="KeinLeerraum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Besondere Vereinbarungen und Hinweise: </w:t>
      </w:r>
      <w:r>
        <w:rPr>
          <w:sz w:val="22"/>
          <w:szCs w:val="22"/>
        </w:rPr>
        <w:t xml:space="preserve"> </w:t>
      </w:r>
    </w:p>
    <w:p w14:paraId="45E70841" w14:textId="77777777" w:rsidR="00B810F5" w:rsidRDefault="00B810F5" w:rsidP="003F0806">
      <w:pPr>
        <w:pStyle w:val="KeinLeerraum"/>
        <w:jc w:val="both"/>
        <w:rPr>
          <w:sz w:val="22"/>
          <w:szCs w:val="22"/>
        </w:rPr>
      </w:pPr>
    </w:p>
    <w:p w14:paraId="4B347E2E" w14:textId="77777777" w:rsidR="00B810F5" w:rsidRDefault="00B810F5" w:rsidP="003F0806">
      <w:pPr>
        <w:pStyle w:val="KeinLeerrau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Die Beauftragung erf</w:t>
      </w:r>
      <w:r w:rsidR="009F4257">
        <w:rPr>
          <w:sz w:val="22"/>
          <w:szCs w:val="22"/>
        </w:rPr>
        <w:t>olgt unabhängig von der Deckung</w:t>
      </w:r>
      <w:r>
        <w:rPr>
          <w:sz w:val="22"/>
          <w:szCs w:val="22"/>
        </w:rPr>
        <w:t>sschutzzusage einer eventuell bestehenden Recht</w:t>
      </w:r>
      <w:r w:rsidR="003F0806">
        <w:rPr>
          <w:sz w:val="22"/>
          <w:szCs w:val="22"/>
        </w:rPr>
        <w:t>sschutzversicherung. Die Bevollmächtigten</w:t>
      </w:r>
      <w:r>
        <w:rPr>
          <w:sz w:val="22"/>
          <w:szCs w:val="22"/>
        </w:rPr>
        <w:t xml:space="preserve"> sind nach dem Rechtsanwaltsvergütungsgesetz (RVG) berechtigt, einen angemessenen Vergütungsvorschuss vor dem Tätigwerden zu verlangen; außerdem können sie ihre Tätigkeit von dem Eingang eines solchen Vergütungsvorschusses abhängig machen.</w:t>
      </w:r>
    </w:p>
    <w:p w14:paraId="37D97903" w14:textId="77777777" w:rsidR="00B810F5" w:rsidRDefault="00B810F5" w:rsidP="003F0806">
      <w:pPr>
        <w:pStyle w:val="KeinLeerraum"/>
        <w:jc w:val="both"/>
        <w:rPr>
          <w:sz w:val="22"/>
          <w:szCs w:val="22"/>
        </w:rPr>
      </w:pPr>
    </w:p>
    <w:p w14:paraId="2D043AD0" w14:textId="77777777" w:rsidR="00B810F5" w:rsidRDefault="00B810F5" w:rsidP="003F0806">
      <w:pPr>
        <w:pStyle w:val="KeinLeerrau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</w:t>
      </w:r>
      <w:r w:rsidR="005F34A1">
        <w:rPr>
          <w:sz w:val="22"/>
          <w:szCs w:val="22"/>
        </w:rPr>
        <w:t>r Vollmachtgeber tritt eventuelle</w:t>
      </w:r>
      <w:r>
        <w:rPr>
          <w:sz w:val="22"/>
          <w:szCs w:val="22"/>
        </w:rPr>
        <w:t xml:space="preserve"> Ansprüche gegen die Staatskasse auf Erstattung von Anwaltskosten als notwendige Auslagen (§</w:t>
      </w:r>
      <w:r w:rsidR="009F4257">
        <w:rPr>
          <w:sz w:val="22"/>
          <w:szCs w:val="22"/>
        </w:rPr>
        <w:t>§</w:t>
      </w:r>
      <w:r>
        <w:rPr>
          <w:sz w:val="22"/>
          <w:szCs w:val="22"/>
        </w:rPr>
        <w:t xml:space="preserve"> 464a Abs. 2 Nr. 2, 464b StPO) an die Bevollmächtigten ab; die Bevollmächtigten nehmen diese Abtretung an.  </w:t>
      </w:r>
    </w:p>
    <w:p w14:paraId="1651056C" w14:textId="77777777" w:rsidR="00B810F5" w:rsidRDefault="00B810F5" w:rsidP="003F0806">
      <w:pPr>
        <w:pStyle w:val="KeinLeerraum"/>
        <w:jc w:val="both"/>
        <w:rPr>
          <w:sz w:val="22"/>
          <w:szCs w:val="22"/>
        </w:rPr>
      </w:pPr>
    </w:p>
    <w:p w14:paraId="3D49BB21" w14:textId="77777777" w:rsidR="00B810F5" w:rsidRDefault="00B810F5" w:rsidP="003F0806">
      <w:pPr>
        <w:pStyle w:val="KeinLeerrau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Der Vollmachtgeber erklärt sich mit der Speicherung personenbezogener Daten für die Dauer der Mandatsbearbeitung bis zum Abschluss des Verfahrens einschließlich des Ausgleichs des Aktenkontos einverstanden.</w:t>
      </w:r>
    </w:p>
    <w:p w14:paraId="509CB1FC" w14:textId="77777777" w:rsidR="00B810F5" w:rsidRDefault="00B810F5" w:rsidP="003F0806">
      <w:pPr>
        <w:pStyle w:val="KeinLeerraum"/>
        <w:jc w:val="both"/>
        <w:rPr>
          <w:sz w:val="22"/>
          <w:szCs w:val="22"/>
        </w:rPr>
      </w:pPr>
    </w:p>
    <w:p w14:paraId="2664F7F3" w14:textId="77777777" w:rsidR="00B810F5" w:rsidRDefault="00B810F5" w:rsidP="003F0806">
      <w:pPr>
        <w:pStyle w:val="KeinLeerraum"/>
        <w:jc w:val="both"/>
        <w:rPr>
          <w:sz w:val="22"/>
          <w:szCs w:val="22"/>
        </w:rPr>
      </w:pPr>
    </w:p>
    <w:p w14:paraId="0A88F23B" w14:textId="77777777" w:rsidR="00B810F5" w:rsidRDefault="00B810F5" w:rsidP="003F0806">
      <w:pPr>
        <w:pStyle w:val="KeinLeerraum"/>
        <w:jc w:val="both"/>
        <w:rPr>
          <w:sz w:val="22"/>
          <w:szCs w:val="22"/>
        </w:rPr>
      </w:pPr>
    </w:p>
    <w:p w14:paraId="42C189D1" w14:textId="77777777" w:rsidR="00B810F5" w:rsidRDefault="00B810F5" w:rsidP="003F0806">
      <w:pPr>
        <w:pStyle w:val="KeinLeerraum"/>
        <w:jc w:val="both"/>
        <w:rPr>
          <w:sz w:val="22"/>
          <w:szCs w:val="22"/>
        </w:rPr>
      </w:pPr>
    </w:p>
    <w:p w14:paraId="15D0DC3D" w14:textId="02A4194D" w:rsidR="00B810F5" w:rsidRDefault="009A437B" w:rsidP="003F0806">
      <w:pPr>
        <w:pStyle w:val="KeinLeerrau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089DC450" w14:textId="4FA52167" w:rsidR="00B810F5" w:rsidRDefault="00DF043A" w:rsidP="003F0806">
      <w:pPr>
        <w:pStyle w:val="KeinLeerraum"/>
        <w:jc w:val="both"/>
        <w:rPr>
          <w:sz w:val="22"/>
          <w:szCs w:val="22"/>
        </w:rPr>
      </w:pPr>
      <w:r w:rsidRPr="007F2574">
        <w:rPr>
          <w:sz w:val="22"/>
          <w:szCs w:val="22"/>
        </w:rPr>
        <w:t>________</w:t>
      </w:r>
      <w:r w:rsidR="00B810F5" w:rsidRPr="007F2574">
        <w:rPr>
          <w:sz w:val="22"/>
          <w:szCs w:val="22"/>
        </w:rPr>
        <w:t>_______________</w:t>
      </w:r>
      <w:r w:rsidR="00B810F5">
        <w:rPr>
          <w:sz w:val="22"/>
          <w:szCs w:val="22"/>
        </w:rPr>
        <w:t xml:space="preserve">__, den </w:t>
      </w:r>
      <w:r w:rsidR="00B810F5" w:rsidRPr="007F2574">
        <w:rPr>
          <w:sz w:val="22"/>
          <w:szCs w:val="22"/>
        </w:rPr>
        <w:t>_</w:t>
      </w:r>
      <w:r w:rsidRPr="007F2574">
        <w:rPr>
          <w:sz w:val="22"/>
          <w:szCs w:val="22"/>
        </w:rPr>
        <w:t>________</w:t>
      </w:r>
      <w:r w:rsidR="00B810F5" w:rsidRPr="007F2574">
        <w:rPr>
          <w:sz w:val="22"/>
          <w:szCs w:val="22"/>
        </w:rPr>
        <w:t>__</w:t>
      </w:r>
      <w:r w:rsidR="00B810F5">
        <w:rPr>
          <w:sz w:val="22"/>
          <w:szCs w:val="22"/>
        </w:rPr>
        <w:t>________</w:t>
      </w:r>
      <w:r w:rsidR="00BC1648">
        <w:rPr>
          <w:sz w:val="22"/>
          <w:szCs w:val="22"/>
        </w:rPr>
        <w:t>__</w:t>
      </w:r>
      <w:r w:rsidR="00C9255E">
        <w:rPr>
          <w:sz w:val="22"/>
          <w:szCs w:val="22"/>
        </w:rPr>
        <w:t>__</w:t>
      </w:r>
      <w:r w:rsidR="00B810F5">
        <w:rPr>
          <w:sz w:val="22"/>
          <w:szCs w:val="22"/>
        </w:rPr>
        <w:tab/>
      </w:r>
      <w:r w:rsidR="00801E30">
        <w:rPr>
          <w:sz w:val="22"/>
          <w:szCs w:val="22"/>
        </w:rPr>
        <w:t>_____</w:t>
      </w:r>
      <w:r w:rsidR="009D192D">
        <w:rPr>
          <w:sz w:val="22"/>
          <w:szCs w:val="22"/>
        </w:rPr>
        <w:t>____________________</w:t>
      </w:r>
    </w:p>
    <w:p w14:paraId="2780F4B9" w14:textId="0655D08F" w:rsidR="00BF4CA5" w:rsidRPr="00AA50D4" w:rsidRDefault="00B810F5" w:rsidP="009D192D">
      <w:pPr>
        <w:pStyle w:val="KeinLeerraum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807991">
        <w:rPr>
          <w:sz w:val="22"/>
          <w:szCs w:val="22"/>
        </w:rPr>
        <w:t>Ort)</w:t>
      </w:r>
      <w:r w:rsidR="00807991">
        <w:rPr>
          <w:sz w:val="22"/>
          <w:szCs w:val="22"/>
        </w:rPr>
        <w:tab/>
      </w:r>
      <w:r w:rsidR="00807991">
        <w:rPr>
          <w:sz w:val="22"/>
          <w:szCs w:val="22"/>
        </w:rPr>
        <w:tab/>
      </w:r>
      <w:r w:rsidR="009D192D">
        <w:rPr>
          <w:sz w:val="22"/>
          <w:szCs w:val="22"/>
        </w:rPr>
        <w:tab/>
      </w:r>
      <w:r w:rsidR="009D192D">
        <w:rPr>
          <w:sz w:val="22"/>
          <w:szCs w:val="22"/>
        </w:rPr>
        <w:tab/>
      </w:r>
      <w:r w:rsidR="00801E30">
        <w:rPr>
          <w:sz w:val="22"/>
          <w:szCs w:val="22"/>
        </w:rPr>
        <w:tab/>
      </w:r>
      <w:r w:rsidR="002D26BA">
        <w:rPr>
          <w:sz w:val="22"/>
          <w:szCs w:val="22"/>
        </w:rPr>
        <w:t xml:space="preserve">      </w:t>
      </w:r>
      <w:r w:rsidR="00BC1648">
        <w:rPr>
          <w:sz w:val="22"/>
          <w:szCs w:val="22"/>
        </w:rPr>
        <w:t xml:space="preserve"> </w:t>
      </w:r>
      <w:r w:rsidR="00807991">
        <w:rPr>
          <w:sz w:val="22"/>
          <w:szCs w:val="22"/>
        </w:rPr>
        <w:t>(Datum</w:t>
      </w:r>
      <w:r w:rsidR="009D192D">
        <w:rPr>
          <w:sz w:val="22"/>
          <w:szCs w:val="22"/>
        </w:rPr>
        <w:t>)</w:t>
      </w:r>
      <w:r w:rsidR="00807991">
        <w:rPr>
          <w:sz w:val="22"/>
          <w:szCs w:val="22"/>
        </w:rPr>
        <w:tab/>
        <w:t xml:space="preserve"> </w:t>
      </w:r>
      <w:r w:rsidR="00807991">
        <w:rPr>
          <w:sz w:val="22"/>
          <w:szCs w:val="22"/>
        </w:rPr>
        <w:tab/>
      </w:r>
      <w:r w:rsidR="00807991">
        <w:rPr>
          <w:sz w:val="22"/>
          <w:szCs w:val="22"/>
        </w:rPr>
        <w:tab/>
      </w:r>
      <w:r w:rsidR="00807991">
        <w:rPr>
          <w:sz w:val="22"/>
          <w:szCs w:val="22"/>
        </w:rPr>
        <w:tab/>
      </w:r>
      <w:r w:rsidR="00801E30">
        <w:rPr>
          <w:sz w:val="22"/>
          <w:szCs w:val="22"/>
        </w:rPr>
        <w:tab/>
      </w:r>
      <w:r w:rsidR="00807991">
        <w:rPr>
          <w:sz w:val="22"/>
          <w:szCs w:val="22"/>
        </w:rPr>
        <w:t>(Unterschrift)</w:t>
      </w:r>
    </w:p>
    <w:sectPr w:rsidR="00BF4CA5" w:rsidRPr="00AA5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720C6" w14:textId="77777777" w:rsidR="005270BC" w:rsidRDefault="00B810F5">
      <w:r>
        <w:separator/>
      </w:r>
    </w:p>
  </w:endnote>
  <w:endnote w:type="continuationSeparator" w:id="0">
    <w:p w14:paraId="5E4449AD" w14:textId="77777777" w:rsidR="005270BC" w:rsidRDefault="00B8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0FA13" w14:textId="77777777" w:rsidR="00B810F5" w:rsidRDefault="00B810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DB2DA" w14:textId="77777777" w:rsidR="006C6634" w:rsidRDefault="006C6634">
    <w:pPr>
      <w:pStyle w:val="Fuzeile"/>
      <w:jc w:val="right"/>
    </w:pPr>
  </w:p>
  <w:p w14:paraId="29E344FD" w14:textId="02AD2406" w:rsidR="006C6634" w:rsidRDefault="00B810F5">
    <w:pPr>
      <w:pStyle w:val="Fuzeile"/>
      <w:jc w:val="right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ED21E9">
      <w:rPr>
        <w:noProof/>
      </w:rPr>
      <w:instrText>1</w:instrText>
    </w:r>
    <w:r>
      <w:fldChar w:fldCharType="end"/>
    </w:r>
    <w:r>
      <w:instrText>&lt;&gt;</w:instrText>
    </w:r>
    <w:r>
      <w:fldChar w:fldCharType="begin"/>
    </w:r>
    <w:r>
      <w:instrText>PAGE</w:instrText>
    </w:r>
    <w:r>
      <w:fldChar w:fldCharType="separate"/>
    </w:r>
    <w:r w:rsidR="00C9255E">
      <w:rPr>
        <w:noProof/>
      </w:rPr>
      <w:instrText>2</w:instrText>
    </w:r>
    <w:r>
      <w:fldChar w:fldCharType="end"/>
    </w:r>
    <w:r>
      <w:instrText xml:space="preserve">"/ </w:instrTex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>
      <w:instrText>2</w:instrText>
    </w:r>
    <w:r>
      <w:fldChar w:fldCharType="end"/>
    </w:r>
    <w:r>
      <w:instrText>+1</w:instrText>
    </w:r>
    <w:r>
      <w:fldChar w:fldCharType="separate"/>
    </w:r>
    <w:r>
      <w:instrText>3</w:instrText>
    </w:r>
    <w:r>
      <w:fldChar w:fldCharType="end"/>
    </w:r>
    <w:r>
      <w:instrText>"</w:instrText>
    </w:r>
    <w:r>
      <w:fldChar w:fldCharType="separate"/>
    </w:r>
    <w:r w:rsidR="00ED21E9">
      <w:rPr>
        <w:noProof/>
      </w:rPr>
      <w:t>/ 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0D33D" w14:textId="77777777" w:rsidR="006C6634" w:rsidRDefault="006C6634">
    <w:pPr>
      <w:pStyle w:val="Fuzeile"/>
      <w:jc w:val="right"/>
    </w:pPr>
  </w:p>
  <w:p w14:paraId="19648FCC" w14:textId="1A28A9E1" w:rsidR="006C6634" w:rsidRDefault="00B810F5">
    <w:pPr>
      <w:pStyle w:val="Fuzeile"/>
      <w:jc w:val="right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16686F">
      <w:rPr>
        <w:noProof/>
      </w:rPr>
      <w:instrText>1</w:instrText>
    </w:r>
    <w:r>
      <w:fldChar w:fldCharType="end"/>
    </w:r>
    <w:r>
      <w:instrText>&lt;&gt;</w:instrText>
    </w:r>
    <w:r>
      <w:fldChar w:fldCharType="begin"/>
    </w:r>
    <w:r>
      <w:instrText>PAGE</w:instrText>
    </w:r>
    <w:r>
      <w:fldChar w:fldCharType="separate"/>
    </w:r>
    <w:r w:rsidR="0016686F">
      <w:rPr>
        <w:noProof/>
      </w:rPr>
      <w:instrText>1</w:instrText>
    </w:r>
    <w:r>
      <w:fldChar w:fldCharType="end"/>
    </w:r>
    <w:r>
      <w:instrText xml:space="preserve">"/ </w:instrTex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 w:rsidR="00C9255E">
      <w:rPr>
        <w:noProof/>
      </w:rPr>
      <w:instrText>1</w:instrText>
    </w:r>
    <w:r>
      <w:fldChar w:fldCharType="end"/>
    </w:r>
    <w:r>
      <w:instrText>+1</w:instrText>
    </w:r>
    <w:r>
      <w:fldChar w:fldCharType="separate"/>
    </w:r>
    <w:r w:rsidR="00C9255E">
      <w:rPr>
        <w:noProof/>
      </w:rPr>
      <w:instrText>2</w:instrText>
    </w:r>
    <w:r>
      <w:fldChar w:fldCharType="end"/>
    </w:r>
    <w:r>
      <w:instrText>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723BF" w14:textId="77777777" w:rsidR="005270BC" w:rsidRDefault="00B810F5">
      <w:r>
        <w:separator/>
      </w:r>
    </w:p>
  </w:footnote>
  <w:footnote w:type="continuationSeparator" w:id="0">
    <w:p w14:paraId="1D196D23" w14:textId="77777777" w:rsidR="005270BC" w:rsidRDefault="00B8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D70DA" w14:textId="77777777" w:rsidR="00B810F5" w:rsidRDefault="00B810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3607" w14:textId="77777777" w:rsidR="006C6634" w:rsidRDefault="006C6634">
    <w:pPr>
      <w:pStyle w:val="Kopfzeile"/>
      <w:jc w:val="center"/>
    </w:pPr>
  </w:p>
  <w:p w14:paraId="0D1F9279" w14:textId="77777777" w:rsidR="006C6634" w:rsidRDefault="00B810F5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807991">
      <w:rPr>
        <w:noProof/>
      </w:rPr>
      <w:t>2</w:t>
    </w:r>
    <w:r>
      <w:fldChar w:fldCharType="end"/>
    </w:r>
    <w:r>
      <w:t xml:space="preserve"> -</w:t>
    </w:r>
  </w:p>
  <w:p w14:paraId="0F42DCF7" w14:textId="77777777" w:rsidR="006C6634" w:rsidRDefault="006C6634">
    <w:pPr>
      <w:pStyle w:val="Kopfzeile"/>
      <w:jc w:val="center"/>
    </w:pPr>
  </w:p>
  <w:p w14:paraId="13239B44" w14:textId="77777777" w:rsidR="006C6634" w:rsidRDefault="006C6634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C51E7" w14:textId="77777777" w:rsidR="00B810F5" w:rsidRDefault="00B810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0119A"/>
    <w:multiLevelType w:val="hybridMultilevel"/>
    <w:tmpl w:val="9734439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6876"/>
    <w:multiLevelType w:val="hybridMultilevel"/>
    <w:tmpl w:val="40BE0F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21F04"/>
    <w:multiLevelType w:val="hybridMultilevel"/>
    <w:tmpl w:val="10AC0412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3351413"/>
    <w:multiLevelType w:val="hybridMultilevel"/>
    <w:tmpl w:val="7494D8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GUID" w:val="{b2147699-9b9f-49f9-83db-92db87e5928c}"/>
    <w:docVar w:name="AktenNr" w:val="000100-2020/001:00"/>
    <w:docVar w:name="DokArt" w:val="SVER"/>
    <w:docVar w:name="DokBeschreibung" w:val="Vertrag"/>
    <w:docVar w:name="DokLfdNr" w:val="00000"/>
    <w:docVar w:name="Empfaenger" w:val="1"/>
    <w:docVar w:name="EmpfGruppe" w:val="90"/>
    <w:docVar w:name="szBet" w:val="1"/>
    <w:docVar w:name="XPFaehig" w:val="1"/>
  </w:docVars>
  <w:rsids>
    <w:rsidRoot w:val="00BF4CA5"/>
    <w:rsid w:val="00003F53"/>
    <w:rsid w:val="000049D9"/>
    <w:rsid w:val="00005A05"/>
    <w:rsid w:val="00006C0E"/>
    <w:rsid w:val="00013323"/>
    <w:rsid w:val="00013386"/>
    <w:rsid w:val="00014830"/>
    <w:rsid w:val="000208E7"/>
    <w:rsid w:val="00023C7B"/>
    <w:rsid w:val="00025CC0"/>
    <w:rsid w:val="00031616"/>
    <w:rsid w:val="0003245F"/>
    <w:rsid w:val="000332DF"/>
    <w:rsid w:val="00040C42"/>
    <w:rsid w:val="00046960"/>
    <w:rsid w:val="00047BD4"/>
    <w:rsid w:val="0005107D"/>
    <w:rsid w:val="000514D4"/>
    <w:rsid w:val="000528C8"/>
    <w:rsid w:val="00052FD2"/>
    <w:rsid w:val="00054AF4"/>
    <w:rsid w:val="00056BD9"/>
    <w:rsid w:val="00057EBA"/>
    <w:rsid w:val="000600DA"/>
    <w:rsid w:val="000649E6"/>
    <w:rsid w:val="00065D12"/>
    <w:rsid w:val="00071EE9"/>
    <w:rsid w:val="000721D5"/>
    <w:rsid w:val="0007235A"/>
    <w:rsid w:val="00075D82"/>
    <w:rsid w:val="000809F1"/>
    <w:rsid w:val="0008289B"/>
    <w:rsid w:val="00082A0A"/>
    <w:rsid w:val="00083926"/>
    <w:rsid w:val="00083B7C"/>
    <w:rsid w:val="00083F64"/>
    <w:rsid w:val="00086BB5"/>
    <w:rsid w:val="00087A93"/>
    <w:rsid w:val="00093269"/>
    <w:rsid w:val="00094CB5"/>
    <w:rsid w:val="00094D26"/>
    <w:rsid w:val="00097ED7"/>
    <w:rsid w:val="000A1D43"/>
    <w:rsid w:val="000A1F4D"/>
    <w:rsid w:val="000A31E0"/>
    <w:rsid w:val="000A4D4A"/>
    <w:rsid w:val="000A68EE"/>
    <w:rsid w:val="000B3849"/>
    <w:rsid w:val="000B3FAC"/>
    <w:rsid w:val="000B7335"/>
    <w:rsid w:val="000C1BE1"/>
    <w:rsid w:val="000C22FA"/>
    <w:rsid w:val="000C3262"/>
    <w:rsid w:val="000C3AB4"/>
    <w:rsid w:val="000C517D"/>
    <w:rsid w:val="000C68C2"/>
    <w:rsid w:val="000D0B7D"/>
    <w:rsid w:val="000D2FE1"/>
    <w:rsid w:val="000D7076"/>
    <w:rsid w:val="000D7B24"/>
    <w:rsid w:val="000E1D67"/>
    <w:rsid w:val="000E3F95"/>
    <w:rsid w:val="000F1BAA"/>
    <w:rsid w:val="000F42BC"/>
    <w:rsid w:val="00100575"/>
    <w:rsid w:val="00100696"/>
    <w:rsid w:val="00110236"/>
    <w:rsid w:val="001114B8"/>
    <w:rsid w:val="0011454C"/>
    <w:rsid w:val="00116F4B"/>
    <w:rsid w:val="001174D1"/>
    <w:rsid w:val="001230FF"/>
    <w:rsid w:val="00124774"/>
    <w:rsid w:val="00124D15"/>
    <w:rsid w:val="00126944"/>
    <w:rsid w:val="00126D28"/>
    <w:rsid w:val="00130C5C"/>
    <w:rsid w:val="00131BA3"/>
    <w:rsid w:val="001379B6"/>
    <w:rsid w:val="001462F6"/>
    <w:rsid w:val="00151760"/>
    <w:rsid w:val="00153DCE"/>
    <w:rsid w:val="001605C6"/>
    <w:rsid w:val="001632CD"/>
    <w:rsid w:val="001644AD"/>
    <w:rsid w:val="00165C51"/>
    <w:rsid w:val="0016663D"/>
    <w:rsid w:val="0016686F"/>
    <w:rsid w:val="00166B5E"/>
    <w:rsid w:val="00171D8D"/>
    <w:rsid w:val="00172220"/>
    <w:rsid w:val="0017339F"/>
    <w:rsid w:val="00173BB1"/>
    <w:rsid w:val="0017414E"/>
    <w:rsid w:val="00175282"/>
    <w:rsid w:val="00180A6B"/>
    <w:rsid w:val="001854A4"/>
    <w:rsid w:val="001904DE"/>
    <w:rsid w:val="00192F59"/>
    <w:rsid w:val="00195937"/>
    <w:rsid w:val="0019602A"/>
    <w:rsid w:val="00196A6C"/>
    <w:rsid w:val="001A288B"/>
    <w:rsid w:val="001A407F"/>
    <w:rsid w:val="001A5AF0"/>
    <w:rsid w:val="001B19BC"/>
    <w:rsid w:val="001B55D6"/>
    <w:rsid w:val="001B6523"/>
    <w:rsid w:val="001B77AA"/>
    <w:rsid w:val="001C1B32"/>
    <w:rsid w:val="001C54E9"/>
    <w:rsid w:val="001C640A"/>
    <w:rsid w:val="001D171A"/>
    <w:rsid w:val="001D7077"/>
    <w:rsid w:val="001E00CC"/>
    <w:rsid w:val="001E151C"/>
    <w:rsid w:val="001E2448"/>
    <w:rsid w:val="001E614F"/>
    <w:rsid w:val="001E7415"/>
    <w:rsid w:val="001F10A4"/>
    <w:rsid w:val="001F63C7"/>
    <w:rsid w:val="00200C4F"/>
    <w:rsid w:val="00200CF8"/>
    <w:rsid w:val="0020241E"/>
    <w:rsid w:val="00213623"/>
    <w:rsid w:val="0021565D"/>
    <w:rsid w:val="00216214"/>
    <w:rsid w:val="00220B14"/>
    <w:rsid w:val="0022125C"/>
    <w:rsid w:val="002218B4"/>
    <w:rsid w:val="00224343"/>
    <w:rsid w:val="00224AA2"/>
    <w:rsid w:val="00227829"/>
    <w:rsid w:val="00232410"/>
    <w:rsid w:val="00232CE4"/>
    <w:rsid w:val="00235662"/>
    <w:rsid w:val="00236405"/>
    <w:rsid w:val="00240797"/>
    <w:rsid w:val="00244089"/>
    <w:rsid w:val="002444BE"/>
    <w:rsid w:val="00247186"/>
    <w:rsid w:val="00247B94"/>
    <w:rsid w:val="00247D56"/>
    <w:rsid w:val="00251C7C"/>
    <w:rsid w:val="00254C17"/>
    <w:rsid w:val="0026145F"/>
    <w:rsid w:val="00264B6F"/>
    <w:rsid w:val="0026799D"/>
    <w:rsid w:val="002711EB"/>
    <w:rsid w:val="00271DAD"/>
    <w:rsid w:val="0027722A"/>
    <w:rsid w:val="0028238E"/>
    <w:rsid w:val="00283A8A"/>
    <w:rsid w:val="0028513A"/>
    <w:rsid w:val="00295525"/>
    <w:rsid w:val="00295BE1"/>
    <w:rsid w:val="002970B6"/>
    <w:rsid w:val="002A0581"/>
    <w:rsid w:val="002A2E74"/>
    <w:rsid w:val="002A78B7"/>
    <w:rsid w:val="002B022E"/>
    <w:rsid w:val="002B0FFB"/>
    <w:rsid w:val="002B134D"/>
    <w:rsid w:val="002B3F84"/>
    <w:rsid w:val="002B4E1D"/>
    <w:rsid w:val="002B7DB4"/>
    <w:rsid w:val="002C1117"/>
    <w:rsid w:val="002C2ACD"/>
    <w:rsid w:val="002C3A35"/>
    <w:rsid w:val="002C5F6C"/>
    <w:rsid w:val="002C7CD4"/>
    <w:rsid w:val="002D26BA"/>
    <w:rsid w:val="002D2DC5"/>
    <w:rsid w:val="002D3A17"/>
    <w:rsid w:val="002D5B6A"/>
    <w:rsid w:val="002D6230"/>
    <w:rsid w:val="002E2525"/>
    <w:rsid w:val="002E39F0"/>
    <w:rsid w:val="002E4B77"/>
    <w:rsid w:val="002E7419"/>
    <w:rsid w:val="002F1B5D"/>
    <w:rsid w:val="002F1E93"/>
    <w:rsid w:val="002F5434"/>
    <w:rsid w:val="002F5AAF"/>
    <w:rsid w:val="002F68D8"/>
    <w:rsid w:val="00302E1D"/>
    <w:rsid w:val="003077B8"/>
    <w:rsid w:val="0031587A"/>
    <w:rsid w:val="00321F19"/>
    <w:rsid w:val="00322605"/>
    <w:rsid w:val="00330013"/>
    <w:rsid w:val="00333009"/>
    <w:rsid w:val="003368F7"/>
    <w:rsid w:val="00337210"/>
    <w:rsid w:val="0034503D"/>
    <w:rsid w:val="003451D1"/>
    <w:rsid w:val="00352241"/>
    <w:rsid w:val="00353C89"/>
    <w:rsid w:val="00357905"/>
    <w:rsid w:val="00363E84"/>
    <w:rsid w:val="00364C36"/>
    <w:rsid w:val="003700EA"/>
    <w:rsid w:val="003716FF"/>
    <w:rsid w:val="00374CE8"/>
    <w:rsid w:val="00375988"/>
    <w:rsid w:val="00383976"/>
    <w:rsid w:val="0039606D"/>
    <w:rsid w:val="00396182"/>
    <w:rsid w:val="00396C08"/>
    <w:rsid w:val="00396C30"/>
    <w:rsid w:val="00397EDA"/>
    <w:rsid w:val="003A1574"/>
    <w:rsid w:val="003A1C64"/>
    <w:rsid w:val="003A7A38"/>
    <w:rsid w:val="003B3133"/>
    <w:rsid w:val="003B4A6B"/>
    <w:rsid w:val="003B5FBE"/>
    <w:rsid w:val="003C243B"/>
    <w:rsid w:val="003C58ED"/>
    <w:rsid w:val="003D085D"/>
    <w:rsid w:val="003D2635"/>
    <w:rsid w:val="003D35AE"/>
    <w:rsid w:val="003D593B"/>
    <w:rsid w:val="003D5B5E"/>
    <w:rsid w:val="003D5CE3"/>
    <w:rsid w:val="003D686E"/>
    <w:rsid w:val="003D7908"/>
    <w:rsid w:val="003E1B7E"/>
    <w:rsid w:val="003E2920"/>
    <w:rsid w:val="003E2D5D"/>
    <w:rsid w:val="003E3E1C"/>
    <w:rsid w:val="003E7EC9"/>
    <w:rsid w:val="003F0553"/>
    <w:rsid w:val="003F059B"/>
    <w:rsid w:val="003F0806"/>
    <w:rsid w:val="003F14D2"/>
    <w:rsid w:val="003F1998"/>
    <w:rsid w:val="003F20B1"/>
    <w:rsid w:val="003F7B4B"/>
    <w:rsid w:val="004006B3"/>
    <w:rsid w:val="004021DF"/>
    <w:rsid w:val="00402581"/>
    <w:rsid w:val="00402D19"/>
    <w:rsid w:val="0040352A"/>
    <w:rsid w:val="004048A2"/>
    <w:rsid w:val="004058CE"/>
    <w:rsid w:val="00405966"/>
    <w:rsid w:val="00406317"/>
    <w:rsid w:val="00411B0A"/>
    <w:rsid w:val="004128BC"/>
    <w:rsid w:val="0042043B"/>
    <w:rsid w:val="0042162C"/>
    <w:rsid w:val="0042526B"/>
    <w:rsid w:val="00432A8E"/>
    <w:rsid w:val="00440DF2"/>
    <w:rsid w:val="00441187"/>
    <w:rsid w:val="00445A16"/>
    <w:rsid w:val="00446C4E"/>
    <w:rsid w:val="00446FE4"/>
    <w:rsid w:val="00447A37"/>
    <w:rsid w:val="004505A9"/>
    <w:rsid w:val="00452958"/>
    <w:rsid w:val="00454342"/>
    <w:rsid w:val="00455D52"/>
    <w:rsid w:val="004578B4"/>
    <w:rsid w:val="00457A8A"/>
    <w:rsid w:val="00460B4C"/>
    <w:rsid w:val="00461F9F"/>
    <w:rsid w:val="004647BC"/>
    <w:rsid w:val="004730C0"/>
    <w:rsid w:val="004754F1"/>
    <w:rsid w:val="00484443"/>
    <w:rsid w:val="004855AC"/>
    <w:rsid w:val="00495617"/>
    <w:rsid w:val="004A0521"/>
    <w:rsid w:val="004A2E32"/>
    <w:rsid w:val="004A451B"/>
    <w:rsid w:val="004A658E"/>
    <w:rsid w:val="004A732F"/>
    <w:rsid w:val="004B179D"/>
    <w:rsid w:val="004B27FF"/>
    <w:rsid w:val="004B3417"/>
    <w:rsid w:val="004B6CE1"/>
    <w:rsid w:val="004C5AF4"/>
    <w:rsid w:val="004C6C2A"/>
    <w:rsid w:val="004D00C6"/>
    <w:rsid w:val="004D24B1"/>
    <w:rsid w:val="004D40E4"/>
    <w:rsid w:val="004D7EB9"/>
    <w:rsid w:val="004E0DCC"/>
    <w:rsid w:val="004E2D51"/>
    <w:rsid w:val="004E3C3E"/>
    <w:rsid w:val="004E52F0"/>
    <w:rsid w:val="004E5597"/>
    <w:rsid w:val="004F5740"/>
    <w:rsid w:val="004F6886"/>
    <w:rsid w:val="005010B8"/>
    <w:rsid w:val="0050603D"/>
    <w:rsid w:val="00506D43"/>
    <w:rsid w:val="00517277"/>
    <w:rsid w:val="005178B0"/>
    <w:rsid w:val="00521EB0"/>
    <w:rsid w:val="005270BC"/>
    <w:rsid w:val="005310F3"/>
    <w:rsid w:val="00534DF7"/>
    <w:rsid w:val="00535017"/>
    <w:rsid w:val="00536C2D"/>
    <w:rsid w:val="00541005"/>
    <w:rsid w:val="0054179F"/>
    <w:rsid w:val="00542C23"/>
    <w:rsid w:val="00543FE9"/>
    <w:rsid w:val="00546421"/>
    <w:rsid w:val="00551A72"/>
    <w:rsid w:val="00557AAA"/>
    <w:rsid w:val="00560091"/>
    <w:rsid w:val="005615B4"/>
    <w:rsid w:val="005640E8"/>
    <w:rsid w:val="005738AA"/>
    <w:rsid w:val="00575A6D"/>
    <w:rsid w:val="005766F6"/>
    <w:rsid w:val="00576D3B"/>
    <w:rsid w:val="00580261"/>
    <w:rsid w:val="00581296"/>
    <w:rsid w:val="005822F9"/>
    <w:rsid w:val="005836CF"/>
    <w:rsid w:val="005874DC"/>
    <w:rsid w:val="00587F71"/>
    <w:rsid w:val="00592617"/>
    <w:rsid w:val="005936C6"/>
    <w:rsid w:val="005956F3"/>
    <w:rsid w:val="00596486"/>
    <w:rsid w:val="005A0AE2"/>
    <w:rsid w:val="005A3759"/>
    <w:rsid w:val="005A4D43"/>
    <w:rsid w:val="005B278C"/>
    <w:rsid w:val="005B3156"/>
    <w:rsid w:val="005C2322"/>
    <w:rsid w:val="005D21FC"/>
    <w:rsid w:val="005D594F"/>
    <w:rsid w:val="005E032D"/>
    <w:rsid w:val="005E0C6B"/>
    <w:rsid w:val="005E1675"/>
    <w:rsid w:val="005E588F"/>
    <w:rsid w:val="005F2B31"/>
    <w:rsid w:val="005F34A1"/>
    <w:rsid w:val="005F42E5"/>
    <w:rsid w:val="00601633"/>
    <w:rsid w:val="00602273"/>
    <w:rsid w:val="00605127"/>
    <w:rsid w:val="00610940"/>
    <w:rsid w:val="006153C6"/>
    <w:rsid w:val="00620939"/>
    <w:rsid w:val="006215D5"/>
    <w:rsid w:val="00623063"/>
    <w:rsid w:val="00624738"/>
    <w:rsid w:val="00624A81"/>
    <w:rsid w:val="006257A9"/>
    <w:rsid w:val="006270D0"/>
    <w:rsid w:val="0063059D"/>
    <w:rsid w:val="006332D2"/>
    <w:rsid w:val="00635DC1"/>
    <w:rsid w:val="00640FA1"/>
    <w:rsid w:val="00643ACC"/>
    <w:rsid w:val="006445DF"/>
    <w:rsid w:val="00653065"/>
    <w:rsid w:val="006579A7"/>
    <w:rsid w:val="0066219F"/>
    <w:rsid w:val="006622C7"/>
    <w:rsid w:val="00663613"/>
    <w:rsid w:val="0066465A"/>
    <w:rsid w:val="006739F6"/>
    <w:rsid w:val="0068071C"/>
    <w:rsid w:val="00680AA1"/>
    <w:rsid w:val="00685B73"/>
    <w:rsid w:val="00690777"/>
    <w:rsid w:val="006912CC"/>
    <w:rsid w:val="00697F6F"/>
    <w:rsid w:val="006A5D22"/>
    <w:rsid w:val="006A6BBF"/>
    <w:rsid w:val="006A70D5"/>
    <w:rsid w:val="006A7CCE"/>
    <w:rsid w:val="006B2E4F"/>
    <w:rsid w:val="006B5BB6"/>
    <w:rsid w:val="006B6899"/>
    <w:rsid w:val="006B6B34"/>
    <w:rsid w:val="006C4935"/>
    <w:rsid w:val="006C6634"/>
    <w:rsid w:val="006D2BBD"/>
    <w:rsid w:val="006D5D60"/>
    <w:rsid w:val="006D60A6"/>
    <w:rsid w:val="006E20DB"/>
    <w:rsid w:val="006E5AF9"/>
    <w:rsid w:val="006E66CE"/>
    <w:rsid w:val="006E6E7A"/>
    <w:rsid w:val="006E6FD8"/>
    <w:rsid w:val="006F7071"/>
    <w:rsid w:val="00702DDF"/>
    <w:rsid w:val="00704708"/>
    <w:rsid w:val="00705C56"/>
    <w:rsid w:val="00713A82"/>
    <w:rsid w:val="00715EDD"/>
    <w:rsid w:val="00720134"/>
    <w:rsid w:val="0072024E"/>
    <w:rsid w:val="00720D9F"/>
    <w:rsid w:val="007228EC"/>
    <w:rsid w:val="00723E6D"/>
    <w:rsid w:val="007302F1"/>
    <w:rsid w:val="00731E73"/>
    <w:rsid w:val="00734620"/>
    <w:rsid w:val="0074172B"/>
    <w:rsid w:val="00744496"/>
    <w:rsid w:val="00750B74"/>
    <w:rsid w:val="00762B2A"/>
    <w:rsid w:val="00762F70"/>
    <w:rsid w:val="00767079"/>
    <w:rsid w:val="00767386"/>
    <w:rsid w:val="00767B0B"/>
    <w:rsid w:val="00786FE5"/>
    <w:rsid w:val="00787361"/>
    <w:rsid w:val="00787BC1"/>
    <w:rsid w:val="00790A4B"/>
    <w:rsid w:val="00791476"/>
    <w:rsid w:val="00792E89"/>
    <w:rsid w:val="00795FC9"/>
    <w:rsid w:val="007A0CC4"/>
    <w:rsid w:val="007A5DCF"/>
    <w:rsid w:val="007B22B9"/>
    <w:rsid w:val="007B63FB"/>
    <w:rsid w:val="007B662A"/>
    <w:rsid w:val="007C0DCA"/>
    <w:rsid w:val="007C1874"/>
    <w:rsid w:val="007C3B8B"/>
    <w:rsid w:val="007C4A3A"/>
    <w:rsid w:val="007D38A4"/>
    <w:rsid w:val="007D5A40"/>
    <w:rsid w:val="007D73CA"/>
    <w:rsid w:val="007E26A3"/>
    <w:rsid w:val="007E4E7A"/>
    <w:rsid w:val="007E7650"/>
    <w:rsid w:val="007F0279"/>
    <w:rsid w:val="007F2574"/>
    <w:rsid w:val="007F37DB"/>
    <w:rsid w:val="007F490F"/>
    <w:rsid w:val="007F64D4"/>
    <w:rsid w:val="008005F3"/>
    <w:rsid w:val="00800C64"/>
    <w:rsid w:val="0080135A"/>
    <w:rsid w:val="0080158D"/>
    <w:rsid w:val="00801DAC"/>
    <w:rsid w:val="00801E30"/>
    <w:rsid w:val="0080268F"/>
    <w:rsid w:val="00803CAA"/>
    <w:rsid w:val="00807110"/>
    <w:rsid w:val="00807991"/>
    <w:rsid w:val="00807EEA"/>
    <w:rsid w:val="008117F3"/>
    <w:rsid w:val="0081253D"/>
    <w:rsid w:val="008172A8"/>
    <w:rsid w:val="008233E7"/>
    <w:rsid w:val="00830633"/>
    <w:rsid w:val="00833FE7"/>
    <w:rsid w:val="00841AC6"/>
    <w:rsid w:val="0084550E"/>
    <w:rsid w:val="00847C49"/>
    <w:rsid w:val="00853945"/>
    <w:rsid w:val="0085722E"/>
    <w:rsid w:val="00860E5B"/>
    <w:rsid w:val="0086306B"/>
    <w:rsid w:val="00866999"/>
    <w:rsid w:val="00867679"/>
    <w:rsid w:val="00871811"/>
    <w:rsid w:val="008742A5"/>
    <w:rsid w:val="0088083E"/>
    <w:rsid w:val="00880B3F"/>
    <w:rsid w:val="00880E71"/>
    <w:rsid w:val="0088160D"/>
    <w:rsid w:val="00884B06"/>
    <w:rsid w:val="00884F87"/>
    <w:rsid w:val="00887E94"/>
    <w:rsid w:val="00887EDE"/>
    <w:rsid w:val="0089498D"/>
    <w:rsid w:val="008964C8"/>
    <w:rsid w:val="00896A3F"/>
    <w:rsid w:val="008A05FC"/>
    <w:rsid w:val="008A14CA"/>
    <w:rsid w:val="008A506A"/>
    <w:rsid w:val="008B2DAB"/>
    <w:rsid w:val="008B4097"/>
    <w:rsid w:val="008B7599"/>
    <w:rsid w:val="008C2B38"/>
    <w:rsid w:val="008D2233"/>
    <w:rsid w:val="008D5424"/>
    <w:rsid w:val="008D792A"/>
    <w:rsid w:val="008E0066"/>
    <w:rsid w:val="008E08BD"/>
    <w:rsid w:val="008E42CD"/>
    <w:rsid w:val="008F431B"/>
    <w:rsid w:val="008F7BE9"/>
    <w:rsid w:val="00902948"/>
    <w:rsid w:val="00903643"/>
    <w:rsid w:val="009053CC"/>
    <w:rsid w:val="0090694B"/>
    <w:rsid w:val="00906984"/>
    <w:rsid w:val="00912E59"/>
    <w:rsid w:val="00913351"/>
    <w:rsid w:val="009159BA"/>
    <w:rsid w:val="00917245"/>
    <w:rsid w:val="009214C4"/>
    <w:rsid w:val="00921F1C"/>
    <w:rsid w:val="00926C4E"/>
    <w:rsid w:val="009311B8"/>
    <w:rsid w:val="0093142A"/>
    <w:rsid w:val="00932398"/>
    <w:rsid w:val="00935307"/>
    <w:rsid w:val="00937E76"/>
    <w:rsid w:val="009432B4"/>
    <w:rsid w:val="00944F9D"/>
    <w:rsid w:val="0095028D"/>
    <w:rsid w:val="0096019C"/>
    <w:rsid w:val="009664E1"/>
    <w:rsid w:val="0098431D"/>
    <w:rsid w:val="00986BF2"/>
    <w:rsid w:val="0099553B"/>
    <w:rsid w:val="009979D1"/>
    <w:rsid w:val="00997B09"/>
    <w:rsid w:val="009A0F93"/>
    <w:rsid w:val="009A1498"/>
    <w:rsid w:val="009A437B"/>
    <w:rsid w:val="009A5337"/>
    <w:rsid w:val="009A5D6C"/>
    <w:rsid w:val="009A7D3B"/>
    <w:rsid w:val="009B1E99"/>
    <w:rsid w:val="009C207F"/>
    <w:rsid w:val="009C4174"/>
    <w:rsid w:val="009C4F74"/>
    <w:rsid w:val="009C6879"/>
    <w:rsid w:val="009C7C67"/>
    <w:rsid w:val="009D192D"/>
    <w:rsid w:val="009D21CC"/>
    <w:rsid w:val="009D3AEE"/>
    <w:rsid w:val="009D7564"/>
    <w:rsid w:val="009E0C76"/>
    <w:rsid w:val="009E1D4B"/>
    <w:rsid w:val="009E7978"/>
    <w:rsid w:val="009F0351"/>
    <w:rsid w:val="009F3FDE"/>
    <w:rsid w:val="009F4257"/>
    <w:rsid w:val="009F6694"/>
    <w:rsid w:val="009F6B3E"/>
    <w:rsid w:val="009F7129"/>
    <w:rsid w:val="00A03152"/>
    <w:rsid w:val="00A04335"/>
    <w:rsid w:val="00A050E3"/>
    <w:rsid w:val="00A06C6E"/>
    <w:rsid w:val="00A07751"/>
    <w:rsid w:val="00A11223"/>
    <w:rsid w:val="00A11406"/>
    <w:rsid w:val="00A1145F"/>
    <w:rsid w:val="00A14CFC"/>
    <w:rsid w:val="00A15304"/>
    <w:rsid w:val="00A16552"/>
    <w:rsid w:val="00A20EB6"/>
    <w:rsid w:val="00A2465D"/>
    <w:rsid w:val="00A24DF9"/>
    <w:rsid w:val="00A273EC"/>
    <w:rsid w:val="00A30742"/>
    <w:rsid w:val="00A30BF0"/>
    <w:rsid w:val="00A32969"/>
    <w:rsid w:val="00A34F29"/>
    <w:rsid w:val="00A40137"/>
    <w:rsid w:val="00A40652"/>
    <w:rsid w:val="00A41C13"/>
    <w:rsid w:val="00A452A7"/>
    <w:rsid w:val="00A45404"/>
    <w:rsid w:val="00A45B26"/>
    <w:rsid w:val="00A46099"/>
    <w:rsid w:val="00A4636C"/>
    <w:rsid w:val="00A50504"/>
    <w:rsid w:val="00A52E9B"/>
    <w:rsid w:val="00A5348B"/>
    <w:rsid w:val="00A54AAF"/>
    <w:rsid w:val="00A55F72"/>
    <w:rsid w:val="00A56C4F"/>
    <w:rsid w:val="00A61317"/>
    <w:rsid w:val="00A64261"/>
    <w:rsid w:val="00A64635"/>
    <w:rsid w:val="00A71DBE"/>
    <w:rsid w:val="00A74A59"/>
    <w:rsid w:val="00A76CB7"/>
    <w:rsid w:val="00A8053A"/>
    <w:rsid w:val="00A8121E"/>
    <w:rsid w:val="00A814DB"/>
    <w:rsid w:val="00AA085B"/>
    <w:rsid w:val="00AA50D4"/>
    <w:rsid w:val="00AB0F6F"/>
    <w:rsid w:val="00AB494E"/>
    <w:rsid w:val="00AB4AA9"/>
    <w:rsid w:val="00AB5CC8"/>
    <w:rsid w:val="00AC1360"/>
    <w:rsid w:val="00AC3288"/>
    <w:rsid w:val="00AC71B1"/>
    <w:rsid w:val="00AE51DD"/>
    <w:rsid w:val="00AE6BC4"/>
    <w:rsid w:val="00AF08A5"/>
    <w:rsid w:val="00AF0ABA"/>
    <w:rsid w:val="00AF5F4F"/>
    <w:rsid w:val="00B04402"/>
    <w:rsid w:val="00B06015"/>
    <w:rsid w:val="00B063B6"/>
    <w:rsid w:val="00B11FFC"/>
    <w:rsid w:val="00B12546"/>
    <w:rsid w:val="00B128AD"/>
    <w:rsid w:val="00B13045"/>
    <w:rsid w:val="00B159C9"/>
    <w:rsid w:val="00B2014E"/>
    <w:rsid w:val="00B203ED"/>
    <w:rsid w:val="00B20FA0"/>
    <w:rsid w:val="00B261F9"/>
    <w:rsid w:val="00B2639E"/>
    <w:rsid w:val="00B2664B"/>
    <w:rsid w:val="00B27C69"/>
    <w:rsid w:val="00B33A0D"/>
    <w:rsid w:val="00B33F3E"/>
    <w:rsid w:val="00B37D15"/>
    <w:rsid w:val="00B40918"/>
    <w:rsid w:val="00B42B97"/>
    <w:rsid w:val="00B45075"/>
    <w:rsid w:val="00B45A02"/>
    <w:rsid w:val="00B468CC"/>
    <w:rsid w:val="00B55308"/>
    <w:rsid w:val="00B5575E"/>
    <w:rsid w:val="00B6255A"/>
    <w:rsid w:val="00B67E47"/>
    <w:rsid w:val="00B70704"/>
    <w:rsid w:val="00B70BB0"/>
    <w:rsid w:val="00B76197"/>
    <w:rsid w:val="00B77B20"/>
    <w:rsid w:val="00B804AE"/>
    <w:rsid w:val="00B810F5"/>
    <w:rsid w:val="00B8341C"/>
    <w:rsid w:val="00B85EAD"/>
    <w:rsid w:val="00B87325"/>
    <w:rsid w:val="00B905AA"/>
    <w:rsid w:val="00B91F49"/>
    <w:rsid w:val="00BA0BCF"/>
    <w:rsid w:val="00BA4E32"/>
    <w:rsid w:val="00BB12F5"/>
    <w:rsid w:val="00BB2C3D"/>
    <w:rsid w:val="00BC1648"/>
    <w:rsid w:val="00BC23AB"/>
    <w:rsid w:val="00BC695C"/>
    <w:rsid w:val="00BC79A9"/>
    <w:rsid w:val="00BD106B"/>
    <w:rsid w:val="00BD4C8F"/>
    <w:rsid w:val="00BD51F3"/>
    <w:rsid w:val="00BF46BB"/>
    <w:rsid w:val="00BF4CA5"/>
    <w:rsid w:val="00BF7203"/>
    <w:rsid w:val="00C00152"/>
    <w:rsid w:val="00C022C1"/>
    <w:rsid w:val="00C0274D"/>
    <w:rsid w:val="00C04A47"/>
    <w:rsid w:val="00C061E4"/>
    <w:rsid w:val="00C143DE"/>
    <w:rsid w:val="00C144B5"/>
    <w:rsid w:val="00C166D8"/>
    <w:rsid w:val="00C201C6"/>
    <w:rsid w:val="00C22FC3"/>
    <w:rsid w:val="00C26272"/>
    <w:rsid w:val="00C306FA"/>
    <w:rsid w:val="00C42A88"/>
    <w:rsid w:val="00C456F8"/>
    <w:rsid w:val="00C51DFF"/>
    <w:rsid w:val="00C5437F"/>
    <w:rsid w:val="00C55A3D"/>
    <w:rsid w:val="00C56DDF"/>
    <w:rsid w:val="00C57EE3"/>
    <w:rsid w:val="00C627D4"/>
    <w:rsid w:val="00C632B5"/>
    <w:rsid w:val="00C66D45"/>
    <w:rsid w:val="00C66D5B"/>
    <w:rsid w:val="00C70245"/>
    <w:rsid w:val="00C71CB6"/>
    <w:rsid w:val="00C72690"/>
    <w:rsid w:val="00C73302"/>
    <w:rsid w:val="00C87186"/>
    <w:rsid w:val="00C87755"/>
    <w:rsid w:val="00C87D2D"/>
    <w:rsid w:val="00C91E78"/>
    <w:rsid w:val="00C9255E"/>
    <w:rsid w:val="00C92AAE"/>
    <w:rsid w:val="00C93E83"/>
    <w:rsid w:val="00C9789C"/>
    <w:rsid w:val="00CA2192"/>
    <w:rsid w:val="00CA2B31"/>
    <w:rsid w:val="00CA414D"/>
    <w:rsid w:val="00CA4804"/>
    <w:rsid w:val="00CA7B6A"/>
    <w:rsid w:val="00CB61F0"/>
    <w:rsid w:val="00CB6362"/>
    <w:rsid w:val="00CB68B8"/>
    <w:rsid w:val="00CB7113"/>
    <w:rsid w:val="00CB7D61"/>
    <w:rsid w:val="00CC03B5"/>
    <w:rsid w:val="00CC1441"/>
    <w:rsid w:val="00CC1FE5"/>
    <w:rsid w:val="00CD034B"/>
    <w:rsid w:val="00CD0DFF"/>
    <w:rsid w:val="00CD51E7"/>
    <w:rsid w:val="00CD56CC"/>
    <w:rsid w:val="00CE116D"/>
    <w:rsid w:val="00CE629D"/>
    <w:rsid w:val="00CE6C6C"/>
    <w:rsid w:val="00CF3D6F"/>
    <w:rsid w:val="00CF620F"/>
    <w:rsid w:val="00D06299"/>
    <w:rsid w:val="00D12585"/>
    <w:rsid w:val="00D1529D"/>
    <w:rsid w:val="00D323AA"/>
    <w:rsid w:val="00D36FE0"/>
    <w:rsid w:val="00D4146B"/>
    <w:rsid w:val="00D41A1B"/>
    <w:rsid w:val="00D42390"/>
    <w:rsid w:val="00D45132"/>
    <w:rsid w:val="00D4540A"/>
    <w:rsid w:val="00D45C4F"/>
    <w:rsid w:val="00D45EB8"/>
    <w:rsid w:val="00D47D38"/>
    <w:rsid w:val="00D5109A"/>
    <w:rsid w:val="00D53D1F"/>
    <w:rsid w:val="00D54F8B"/>
    <w:rsid w:val="00D551C0"/>
    <w:rsid w:val="00D56925"/>
    <w:rsid w:val="00D56C3F"/>
    <w:rsid w:val="00D61D89"/>
    <w:rsid w:val="00D633A4"/>
    <w:rsid w:val="00D645FB"/>
    <w:rsid w:val="00D64671"/>
    <w:rsid w:val="00D65252"/>
    <w:rsid w:val="00D65B16"/>
    <w:rsid w:val="00D65F53"/>
    <w:rsid w:val="00D6643C"/>
    <w:rsid w:val="00D671CD"/>
    <w:rsid w:val="00D67D3B"/>
    <w:rsid w:val="00D7129D"/>
    <w:rsid w:val="00D750B4"/>
    <w:rsid w:val="00D80D1F"/>
    <w:rsid w:val="00D83607"/>
    <w:rsid w:val="00D85867"/>
    <w:rsid w:val="00D8763C"/>
    <w:rsid w:val="00D91280"/>
    <w:rsid w:val="00D93732"/>
    <w:rsid w:val="00D9446C"/>
    <w:rsid w:val="00D95E3A"/>
    <w:rsid w:val="00DA03ED"/>
    <w:rsid w:val="00DA087D"/>
    <w:rsid w:val="00DA36B9"/>
    <w:rsid w:val="00DA5525"/>
    <w:rsid w:val="00DA70F6"/>
    <w:rsid w:val="00DB3A58"/>
    <w:rsid w:val="00DC1D09"/>
    <w:rsid w:val="00DC2235"/>
    <w:rsid w:val="00DC41F6"/>
    <w:rsid w:val="00DC5CE5"/>
    <w:rsid w:val="00DC68D2"/>
    <w:rsid w:val="00DC71EB"/>
    <w:rsid w:val="00DD21EA"/>
    <w:rsid w:val="00DD732F"/>
    <w:rsid w:val="00DE24C3"/>
    <w:rsid w:val="00DE2965"/>
    <w:rsid w:val="00DE5AD6"/>
    <w:rsid w:val="00DE73E9"/>
    <w:rsid w:val="00DF043A"/>
    <w:rsid w:val="00DF752B"/>
    <w:rsid w:val="00E0014E"/>
    <w:rsid w:val="00E01F8F"/>
    <w:rsid w:val="00E06234"/>
    <w:rsid w:val="00E107E4"/>
    <w:rsid w:val="00E11815"/>
    <w:rsid w:val="00E14CD3"/>
    <w:rsid w:val="00E20A5B"/>
    <w:rsid w:val="00E30295"/>
    <w:rsid w:val="00E31DBE"/>
    <w:rsid w:val="00E32B3C"/>
    <w:rsid w:val="00E32F3E"/>
    <w:rsid w:val="00E33B23"/>
    <w:rsid w:val="00E35FCF"/>
    <w:rsid w:val="00E36E8A"/>
    <w:rsid w:val="00E418F7"/>
    <w:rsid w:val="00E4216F"/>
    <w:rsid w:val="00E50BC1"/>
    <w:rsid w:val="00E545F9"/>
    <w:rsid w:val="00E61746"/>
    <w:rsid w:val="00E64965"/>
    <w:rsid w:val="00E65F7D"/>
    <w:rsid w:val="00E70030"/>
    <w:rsid w:val="00E72A47"/>
    <w:rsid w:val="00E72BD9"/>
    <w:rsid w:val="00E83429"/>
    <w:rsid w:val="00E902AB"/>
    <w:rsid w:val="00E92723"/>
    <w:rsid w:val="00E932A5"/>
    <w:rsid w:val="00E94AF7"/>
    <w:rsid w:val="00E95363"/>
    <w:rsid w:val="00E95E4C"/>
    <w:rsid w:val="00E97740"/>
    <w:rsid w:val="00EA0A9E"/>
    <w:rsid w:val="00EA4462"/>
    <w:rsid w:val="00EB17AC"/>
    <w:rsid w:val="00EC24C5"/>
    <w:rsid w:val="00EC2D67"/>
    <w:rsid w:val="00EC4CA6"/>
    <w:rsid w:val="00EC5700"/>
    <w:rsid w:val="00EC70E6"/>
    <w:rsid w:val="00ED03BB"/>
    <w:rsid w:val="00ED05F2"/>
    <w:rsid w:val="00ED0DF3"/>
    <w:rsid w:val="00ED1821"/>
    <w:rsid w:val="00ED21E9"/>
    <w:rsid w:val="00ED2DD2"/>
    <w:rsid w:val="00ED3735"/>
    <w:rsid w:val="00ED4E9E"/>
    <w:rsid w:val="00ED59E3"/>
    <w:rsid w:val="00EE2E58"/>
    <w:rsid w:val="00EF1F76"/>
    <w:rsid w:val="00EF55FE"/>
    <w:rsid w:val="00EF584F"/>
    <w:rsid w:val="00EF7AC3"/>
    <w:rsid w:val="00F014DE"/>
    <w:rsid w:val="00F07676"/>
    <w:rsid w:val="00F1518B"/>
    <w:rsid w:val="00F17295"/>
    <w:rsid w:val="00F17EED"/>
    <w:rsid w:val="00F2038C"/>
    <w:rsid w:val="00F2112A"/>
    <w:rsid w:val="00F211CD"/>
    <w:rsid w:val="00F22E06"/>
    <w:rsid w:val="00F22ED5"/>
    <w:rsid w:val="00F23EEF"/>
    <w:rsid w:val="00F241DC"/>
    <w:rsid w:val="00F242BD"/>
    <w:rsid w:val="00F24ADC"/>
    <w:rsid w:val="00F3213D"/>
    <w:rsid w:val="00F336D1"/>
    <w:rsid w:val="00F44203"/>
    <w:rsid w:val="00F46D50"/>
    <w:rsid w:val="00F50B8F"/>
    <w:rsid w:val="00F54E07"/>
    <w:rsid w:val="00F54E98"/>
    <w:rsid w:val="00F60838"/>
    <w:rsid w:val="00F60B48"/>
    <w:rsid w:val="00F63F45"/>
    <w:rsid w:val="00F65AEE"/>
    <w:rsid w:val="00F768BC"/>
    <w:rsid w:val="00F90A49"/>
    <w:rsid w:val="00F968CE"/>
    <w:rsid w:val="00FA6F43"/>
    <w:rsid w:val="00FB11EC"/>
    <w:rsid w:val="00FB5AB6"/>
    <w:rsid w:val="00FB675A"/>
    <w:rsid w:val="00FC1022"/>
    <w:rsid w:val="00FC4062"/>
    <w:rsid w:val="00FC738F"/>
    <w:rsid w:val="00FD5F7A"/>
    <w:rsid w:val="00FD7299"/>
    <w:rsid w:val="00FD7C18"/>
    <w:rsid w:val="00FE0D17"/>
    <w:rsid w:val="00FE1084"/>
    <w:rsid w:val="00FE3AFE"/>
    <w:rsid w:val="00FE6135"/>
    <w:rsid w:val="00FE6E69"/>
    <w:rsid w:val="00FE7EB0"/>
    <w:rsid w:val="00FF2203"/>
    <w:rsid w:val="00FF3265"/>
    <w:rsid w:val="00FF3D1D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0209"/>
    <o:shapelayout v:ext="edit">
      <o:idmap v:ext="edit" data="1"/>
    </o:shapelayout>
  </w:shapeDefaults>
  <w:decimalSymbol w:val=","/>
  <w:listSeparator w:val=";"/>
  <w14:docId w14:val="2613EE46"/>
  <w15:docId w15:val="{D6ACA04A-2793-4662-B179-8C5B3BE3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10F5"/>
  </w:style>
  <w:style w:type="paragraph" w:styleId="berschrift1">
    <w:name w:val="heading 1"/>
    <w:basedOn w:val="Standard"/>
    <w:next w:val="Standard"/>
    <w:uiPriority w:val="9"/>
    <w:qFormat/>
    <w:pPr>
      <w:spacing w:before="240"/>
      <w:outlineLvl w:val="0"/>
    </w:pPr>
    <w:rPr>
      <w:rFonts w:ascii="Arial" w:hAnsi="Arial"/>
      <w:b/>
      <w:sz w:val="22"/>
      <w:u w:val="single"/>
    </w:rPr>
  </w:style>
  <w:style w:type="paragraph" w:styleId="berschrift2">
    <w:name w:val="heading 2"/>
    <w:basedOn w:val="Standard"/>
    <w:next w:val="Standard"/>
    <w:uiPriority w:val="9"/>
    <w:qFormat/>
    <w:pPr>
      <w:spacing w:before="120"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right" w:pos="8504"/>
      </w:tabs>
    </w:pPr>
    <w:rPr>
      <w:rFonts w:ascii="Arial" w:hAnsi="Arial"/>
      <w:sz w:val="22"/>
    </w:rPr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  <w:rPr>
      <w:rFonts w:ascii="Arial" w:hAnsi="Arial"/>
      <w:sz w:val="22"/>
    </w:rPr>
  </w:style>
  <w:style w:type="paragraph" w:customStyle="1" w:styleId="Einrck1">
    <w:name w:val="Einrück1"/>
    <w:basedOn w:val="Normaltext"/>
    <w:pPr>
      <w:ind w:left="425" w:hanging="425"/>
    </w:pPr>
  </w:style>
  <w:style w:type="paragraph" w:customStyle="1" w:styleId="Normaltext">
    <w:name w:val="Normaltext"/>
    <w:basedOn w:val="Standard"/>
    <w:pPr>
      <w:spacing w:line="360" w:lineRule="exact"/>
    </w:pPr>
  </w:style>
  <w:style w:type="paragraph" w:customStyle="1" w:styleId="Einrck2">
    <w:name w:val="Einrück2"/>
    <w:basedOn w:val="Einrck1"/>
    <w:pPr>
      <w:ind w:left="850"/>
    </w:pPr>
  </w:style>
  <w:style w:type="paragraph" w:customStyle="1" w:styleId="Einrck3">
    <w:name w:val="Einrück3"/>
    <w:basedOn w:val="Einrck2"/>
    <w:pPr>
      <w:ind w:left="1276"/>
    </w:pPr>
  </w:style>
  <w:style w:type="paragraph" w:customStyle="1" w:styleId="Einrck4">
    <w:name w:val="Einrück4"/>
    <w:basedOn w:val="Einrck3"/>
    <w:pPr>
      <w:ind w:left="1701"/>
    </w:pPr>
  </w:style>
  <w:style w:type="paragraph" w:customStyle="1" w:styleId="Standort">
    <w:name w:val="Standort"/>
    <w:basedOn w:val="Standard"/>
    <w:pPr>
      <w:tabs>
        <w:tab w:val="left" w:pos="5387"/>
      </w:tabs>
    </w:pPr>
  </w:style>
  <w:style w:type="paragraph" w:styleId="KeinLeerraum">
    <w:name w:val="No Spacing"/>
    <w:uiPriority w:val="1"/>
    <w:qFormat/>
    <w:rsid w:val="00B810F5"/>
  </w:style>
  <w:style w:type="character" w:customStyle="1" w:styleId="KopfzeileZchn">
    <w:name w:val="Kopfzeile Zchn"/>
    <w:basedOn w:val="Absatz-Standardschriftart"/>
    <w:link w:val="Kopfzeile"/>
    <w:rsid w:val="00AA50D4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79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7991"/>
    <w:rPr>
      <w:rFonts w:ascii="Segoe UI" w:hAnsi="Segoe UI" w:cs="Segoe UI"/>
      <w:sz w:val="18"/>
      <w:szCs w:val="18"/>
    </w:rPr>
  </w:style>
  <w:style w:type="character" w:styleId="SchwacherVerweis">
    <w:name w:val="Subtle Reference"/>
    <w:basedOn w:val="Absatz-Standardschriftart"/>
    <w:uiPriority w:val="31"/>
    <w:qFormat/>
    <w:rsid w:val="00884B0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EV\DATEN\PHANTASY\WITTSTEV\dot\phanb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ae533297-1ede-4ea3-a42c-6a732063dc6d</BSO999929>
</file>

<file path=customXml/itemProps1.xml><?xml version="1.0" encoding="utf-8"?>
<ds:datastoreItem xmlns:ds="http://schemas.openxmlformats.org/officeDocument/2006/customXml" ds:itemID="{92DFB793-DA5C-4A94-8A48-B9B7B11199AB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phanblan</Template>
  <TotalTime>0</TotalTime>
  <Pages>1</Pages>
  <Words>311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 Prozessvollmacht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 Prozessvollmacht</dc:title>
  <dc:subject>Vertrag blanko</dc:subject>
  <dc:creator>Corleis, Denise</dc:creator>
  <cp:keywords/>
  <dc:description>Neue Prozessvollmacht</dc:description>
  <cp:lastModifiedBy>La</cp:lastModifiedBy>
  <cp:revision>2</cp:revision>
  <cp:lastPrinted>2026-06-04T10:11:00Z</cp:lastPrinted>
  <dcterms:created xsi:type="dcterms:W3CDTF">2026-06-11T08:05:00Z</dcterms:created>
  <dcterms:modified xsi:type="dcterms:W3CDTF">2026-06-11T08:05:00Z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000100-2020/001:00</vt:lpwstr>
  </property>
  <property fmtid="{D5CDD505-2E9C-101B-9397-08002B2CF9AE}" pid="3" name="DATEV-DMS_MANDANT_BEZ">
    <vt:lpwstr>Allgemeine Rechtsberatung - RA Witte</vt:lpwstr>
  </property>
  <property fmtid="{D5CDD505-2E9C-101B-9397-08002B2CF9AE}" pid="4" name="DATEV-DMS_DOKU_NR">
    <vt:lpwstr>324997</vt:lpwstr>
  </property>
  <property fmtid="{D5CDD505-2E9C-101B-9397-08002B2CF9AE}" pid="5" name="DATEV-DMS_BETREFF">
    <vt:lpwstr>Neue Prozessvollmacht</vt:lpwstr>
  </property>
</Properties>
</file>